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9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3156"/>
        <w:gridCol w:w="5089"/>
        <w:gridCol w:w="1959"/>
      </w:tblGrid>
      <w:tr>
        <w:trPr/>
        <w:tc>
          <w:tcPr>
            <w:tcW w:w="31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Site de Saint-Florent</w:t>
              <w:br/>
              <w:t>Service HSE</w:t>
            </w:r>
          </w:p>
        </w:tc>
        <w:tc>
          <w:tcPr>
            <w:tcW w:w="5089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PROCÉDURE</w:t>
              <w:br/>
              <w:t>Déclaration des presque-accidents</w:t>
            </w:r>
          </w:p>
        </w:tc>
        <w:tc>
          <w:tcPr>
            <w:tcW w:w="1959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Réf. </w:t>
            </w:r>
            <w:r>
              <w:rPr>
                <w:b/>
              </w:rPr>
              <w:t>HSE-04</w:t>
            </w:r>
            <w:r>
              <w:rPr/>
              <w:br/>
              <w:t xml:space="preserve">Version </w:t>
            </w:r>
            <w:r>
              <w:rPr>
                <w:b/>
              </w:rPr>
              <w:t>3</w:t>
            </w:r>
            <w:r>
              <w:rPr/>
              <w:br/>
              <w:t>12.01.2026</w:t>
              <w:br/>
              <w:t>Page 1/2</w:t>
            </w:r>
          </w:p>
        </w:tc>
      </w:tr>
    </w:tbl>
    <w:p>
      <w:pPr>
        <w:pStyle w:val="Heading1"/>
        <w:bidi w:val="0"/>
        <w:jc w:val="left"/>
        <w:rPr/>
      </w:pPr>
      <w:r>
        <w:rPr/>
        <w:t>Déclaration des presque-accidents</w:t>
      </w:r>
    </w:p>
    <w:p>
      <w:pPr>
        <w:pStyle w:val="BodyTextchamp"/>
        <w:bidi w:val="0"/>
        <w:rPr/>
      </w:pPr>
      <w:r>
        <w:rPr>
          <w:b/>
        </w:rPr>
        <w:t>S’applique à :</w:t>
      </w:r>
      <w:r>
        <w:rPr/>
        <w:t xml:space="preserve"> tout salarié, intérimaire ou prestataire intervenant en zone de production, en zone logistique ou sur les voies de circulation du site.</w:t>
      </w:r>
    </w:p>
    <w:p>
      <w:pPr>
        <w:pStyle w:val="Heading2"/>
        <w:bidi w:val="0"/>
        <w:jc w:val="left"/>
        <w:rPr/>
      </w:pPr>
      <w:r>
        <w:rPr/>
        <w:t>1. Ce qu’est un presque-accident</w:t>
      </w:r>
    </w:p>
    <w:p>
      <w:pPr>
        <w:pStyle w:val="BodyText"/>
        <w:bidi w:val="0"/>
        <w:rPr/>
      </w:pPr>
      <w:r>
        <w:rPr/>
        <w:t>Un presque-accident est un événement non souhaité qui, dans des circonstances à peine différentes, aurait pu blesser quelqu’un ou endommager une installation, mais qui n’a causé ni blessure, ni arrêt de travail, ni dégât matériel.</w:t>
      </w:r>
    </w:p>
    <w:p>
      <w:pPr>
        <w:pStyle w:val="BodyText"/>
        <w:bidi w:val="0"/>
        <w:rPr/>
      </w:pPr>
      <w:r>
        <w:rPr/>
        <w:t>L’absence de conséquence ne signifie pas que la situation était sans danger. Elle signifie que l’événement s’est produit au moment où personne ne se trouvait là.</w:t>
      </w:r>
    </w:p>
    <w:p>
      <w:pPr>
        <w:pStyle w:val="BodyText"/>
        <w:bidi w:val="0"/>
        <w:rPr/>
      </w:pPr>
      <w:r>
        <w:rPr>
          <w:b/>
        </w:rPr>
        <w:t>Sont des presque-accidents :</w:t>
      </w:r>
      <w:r>
        <w:rPr/>
        <w:t xml:space="preserve"> une palette qui s’affaisse dans une allée de circulation ; un outil qui tombe depuis une passerelle ; le démarrage inattendu d’un convoyeur pendant une intervention ; une collision évitée de justesse entre un chariot et un piéton.</w:t>
      </w:r>
    </w:p>
    <w:p>
      <w:pPr>
        <w:pStyle w:val="BodyText"/>
        <w:bidi w:val="0"/>
        <w:rPr/>
      </w:pPr>
      <w:r>
        <w:rPr>
          <w:b/>
        </w:rPr>
        <w:t>Ne relèvent pas de cette procédure :</w:t>
      </w:r>
      <w:r>
        <w:rPr/>
        <w:t xml:space="preserve"> les pannes et défauts matériels sans exposition d’une personne, qui font l’objet d’une demande d’intervention à la maintenance ; les accidents ayant causé une blessure, même légère, qui relèvent de la procédure HSE-02.</w:t>
      </w:r>
    </w:p>
    <w:p>
      <w:pPr>
        <w:pStyle w:val="Heading2"/>
        <w:bidi w:val="0"/>
        <w:jc w:val="left"/>
        <w:rPr/>
      </w:pPr>
      <w:r>
        <w:rPr/>
        <w:t>2. Qui déclare, et sous quel délai</w:t>
      </w:r>
    </w:p>
    <w:p>
      <w:pPr>
        <w:pStyle w:val="BodyText"/>
        <w:bidi w:val="0"/>
        <w:rPr/>
      </w:pPr>
      <w:r>
        <w:rPr/>
        <w:t>Toute personne témoin ou impliquée déclare l’événement, qu’elle soit salariée du site ou non.</w:t>
      </w:r>
    </w:p>
    <w:p>
      <w:pPr>
        <w:pStyle w:val="BodyText"/>
        <w:bidi w:val="0"/>
        <w:rPr/>
      </w:pPr>
      <w:r>
        <w:rPr>
          <w:b/>
        </w:rPr>
        <w:t>Le délai de déclaration est de 24 heures</w:t>
      </w:r>
      <w:r>
        <w:rPr/>
        <w:t xml:space="preserve"> à compter du moment où la personne a constaté l’événement.</w:t>
      </w:r>
    </w:p>
    <w:p>
      <w:pPr>
        <w:pStyle w:val="BodyText"/>
        <w:bidi w:val="0"/>
        <w:rPr/>
      </w:pPr>
      <w:r>
        <w:rPr/>
        <w:t>La déclaration se fait sur le formulaire jaune disponible à l’entrée de chaque atelier, ou par saisie dans l’application HSE. Deux informations suffisent : ce qui s’est passé, et ce qui aurait pu arriver. Identifier la cause n’incombe pas au déclarant.</w:t>
      </w:r>
    </w:p>
    <w:p>
      <w:pPr>
        <w:pStyle w:val="BodyText"/>
        <w:bidi w:val="0"/>
        <w:rPr/>
      </w:pPr>
      <w:r>
        <w:rPr/>
        <w:t>Le responsable hiérarchique n’est pas un filtre : il n’a pas à juger de l’opportunité d’une déclaration, ni à en autoriser l’envoi.</w:t>
      </w:r>
    </w:p>
    <w:p>
      <w:pPr>
        <w:pStyle w:val="Heading2"/>
        <w:bidi w:val="0"/>
        <w:jc w:val="left"/>
        <w:rPr/>
      </w:pPr>
      <w:r>
        <w:rPr/>
        <w:t>3. Le principe de non-sanction</w:t>
      </w:r>
    </w:p>
    <w:p>
      <w:pPr>
        <w:pStyle w:val="BodyText"/>
        <w:bidi w:val="0"/>
        <w:rPr/>
      </w:pPr>
      <w:r>
        <w:rPr/>
        <w:t>Aucune déclaration de presque-accident ne peut donner lieu à une sanction disciplinaire contre son auteur, y compris lorsque celui-ci est à l’origine de l’événement qu’il déclare. La seule limite est le manquement intentionnel aux règles de sécurité.</w:t>
      </w:r>
    </w:p>
    <w:p>
      <w:pPr>
        <w:pStyle w:val="BodyText"/>
        <w:bidi w:val="0"/>
        <w:rPr/>
      </w:pPr>
      <w:r>
        <w:rPr/>
        <w:t>Ce principe n’est pas une faveur faite au déclarant : une procédure qui sanctionne ne supprime pas les presque-accidents, elle supprime les déclarations. Le site perd alors la seule information dont il dispose avant l’accident.</w:t>
      </w:r>
    </w:p>
    <w:p>
      <w:pPr>
        <w:pStyle w:val="Heading2"/>
        <w:bidi w:val="0"/>
        <w:jc w:val="left"/>
        <w:rPr/>
      </w:pPr>
      <w:r>
        <w:rPr/>
        <w:t>4. Ce qui se passe après la déclaration</w:t>
      </w:r>
    </w:p>
    <w:p>
      <w:pPr>
        <w:pStyle w:val="BodyText"/>
        <w:bidi w:val="0"/>
        <w:rPr/>
      </w:pPr>
      <w:r>
        <w:rPr/>
        <w:t>Sous 15 jours, le référent HSE analyse l’événement avec le responsable de la zone concernée. Une action corrective est décidée, ou la situation est classée avec son motif.</w:t>
      </w:r>
    </w:p>
    <w:p>
      <w:pPr>
        <w:pStyle w:val="BodyText"/>
        <w:bidi w:val="0"/>
        <w:rPr/>
      </w:pPr>
      <w:r>
        <w:rPr/>
        <w:t>Le déclarant reçoit un retour dans les deux cas, y compris lorsque la déclaration est classée sans suite. Le bilan mensuel des déclarations et des actions engagées est affiché dans chaque atelier.</w:t>
      </w:r>
    </w:p>
    <w:p>
      <w:pPr>
        <w:pStyle w:val="Heading2"/>
        <w:bidi w:val="0"/>
        <w:jc w:val="left"/>
        <w:rPr/>
      </w:pPr>
      <w:r>
        <w:rPr/>
        <w:t>5. Trois situations rencontrées sur le site</w:t>
      </w:r>
    </w:p>
    <w:p>
      <w:pPr>
        <w:pStyle w:val="BodyTextcas"/>
        <w:bidi w:val="0"/>
        <w:rPr/>
      </w:pPr>
      <w:r>
        <w:rPr>
          <w:b/>
        </w:rPr>
        <w:t>Une palette mal filmée.</w:t>
      </w:r>
      <w:r>
        <w:rPr/>
        <w:t xml:space="preserve"> En fin de poste de nuit, un opérateur voit une palette s’affaisser dans une allée de circulation. Il n’y a personne dans l’allée. Il remet la charge en état en deux minutes et termine son poste.</w:t>
      </w:r>
    </w:p>
    <w:p>
      <w:pPr>
        <w:pStyle w:val="BodyTextreponse"/>
        <w:bidi w:val="0"/>
        <w:rPr/>
      </w:pPr>
      <w:r>
        <w:rPr/>
        <w:t xml:space="preserve">→ </w:t>
      </w:r>
      <w:r>
        <w:rPr/>
        <w:t>La déclaration est obligatoire. Avoir corrigé la situation ne remplace pas la déclaration : la correction traite le cas, la déclaration traite la cause.</w:t>
      </w:r>
    </w:p>
    <w:p>
      <w:pPr>
        <w:pStyle w:val="BodyTextcas"/>
        <w:bidi w:val="0"/>
        <w:rPr/>
      </w:pPr>
      <w:r>
        <w:rPr>
          <w:b/>
        </w:rPr>
        <w:t>Un escalier sans bande antidérapante.</w:t>
      </w:r>
      <w:r>
        <w:rPr/>
        <w:t xml:space="preserve"> Un prestataire de maintenance manque une marche sur un escalier dont la bande antidérapante est arrachée. Il se rattrape à la rampe et n’est pas blessé.</w:t>
      </w:r>
    </w:p>
    <w:p>
      <w:pPr>
        <w:pStyle w:val="BodyTextreponse"/>
        <w:bidi w:val="0"/>
        <w:rPr/>
      </w:pPr>
      <w:r>
        <w:rPr/>
        <w:t xml:space="preserve">→ </w:t>
      </w:r>
      <w:r>
        <w:rPr/>
        <w:t>La déclaration est obligatoire. Ne pas être salarié du site ne change rien à l’obligation. Le prestataire déclare auprès de son donneur d’ordre sur le site.</w:t>
      </w:r>
    </w:p>
    <w:p>
      <w:pPr>
        <w:pStyle w:val="BodyTextcas"/>
        <w:bidi w:val="0"/>
        <w:rPr/>
      </w:pPr>
      <w:r>
        <w:rPr>
          <w:b/>
        </w:rPr>
        <w:t>Une clé dynamométrique déréglée.</w:t>
      </w:r>
      <w:r>
        <w:rPr/>
        <w:t xml:space="preserve"> Un opérateur constate en début de poste que sa clé dynamométrique ne tient plus son couple. Il la met de côté et en prend une autre.</w:t>
      </w:r>
    </w:p>
    <w:p>
      <w:pPr>
        <w:pStyle w:val="BodyTextreponse"/>
        <w:bidi w:val="0"/>
        <w:rPr/>
      </w:pPr>
      <w:r>
        <w:rPr/>
        <w:t xml:space="preserve">→ </w:t>
      </w:r>
      <w:r>
        <w:rPr/>
        <w:t>Ce n’est pas un presque-accident : aucune personne n’a été exposée. L’outil fait l’objet d’une demande d’intervention à la maintenance.</w:t>
      </w:r>
    </w:p>
    <w:p>
      <w:pPr>
        <w:pStyle w:val="BodyTextpied"/>
        <w:bidi w:val="0"/>
        <w:spacing w:before="400" w:after="140"/>
        <w:rPr/>
      </w:pPr>
      <w:r>
        <w:rPr/>
        <w:t>Version 3, en vigueur depuis le 12 janvier 2026. Remplace la version 2 du 4 mars 2024. Rédacteur : référent HSE du site. Validation : direction de site.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altName w:val="Arial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;Arial;sans-serif" w:hAnsi="Calibri;Arial;sans-serif" w:eastAsia="Calibri;Arial;sans-serif" w:cs="Calibri;Arial;sans-serif"/>
      <w:color w:val="000000"/>
      <w:sz w:val="21"/>
      <w:szCs w:val="21"/>
      <w:lang w:val="fr-FR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80"/>
      <w:outlineLvl w:val="0"/>
    </w:pPr>
    <w:rPr>
      <w:rFonts w:ascii="Calibri;Arial;sans-serif" w:hAnsi="Calibri;Arial;sans-serif" w:eastAsia="Calibri;Arial;sans-serif" w:cs="Calibri;Arial;sans-serif"/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spacing w:before="320" w:after="100"/>
      <w:ind w:left="320" w:right="320"/>
      <w:outlineLvl w:val="1"/>
    </w:pPr>
    <w:rPr>
      <w:rFonts w:ascii="Calibri;Arial;sans-serif" w:hAnsi="Calibri;Arial;sans-serif" w:eastAsia="Calibri;Arial;sans-serif" w:cs="Calibri;Arial;sans-serif"/>
      <w:b/>
      <w:bCs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300" w:before="0" w:after="140"/>
      <w:jc w:val="both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champ">
    <w:name w:val="Body Text.champ"/>
    <w:basedOn w:val="BodyText"/>
    <w:qFormat/>
    <w:pPr>
      <w:pBdr>
        <w:top w:val="single" w:sz="4" w:space="7" w:color="808080"/>
        <w:left w:val="single" w:sz="4" w:space="9" w:color="808080"/>
        <w:bottom w:val="single" w:sz="4" w:space="7" w:color="808080"/>
        <w:right w:val="single" w:sz="4" w:space="9" w:color="808080"/>
      </w:pBdr>
      <w:shd w:fill="F2F2F2" w:val="clear"/>
      <w:spacing w:before="0" w:after="280"/>
    </w:pPr>
    <w:rPr/>
  </w:style>
  <w:style w:type="paragraph" w:styleId="BodyTextcas">
    <w:name w:val="Body Text.cas"/>
    <w:basedOn w:val="BodyText"/>
    <w:qFormat/>
    <w:pPr>
      <w:spacing w:before="0" w:after="40"/>
    </w:pPr>
    <w:rPr/>
  </w:style>
  <w:style w:type="paragraph" w:styleId="BodyTextreponse">
    <w:name w:val="Body Text.reponse"/>
    <w:basedOn w:val="BodyText"/>
    <w:qFormat/>
    <w:pPr>
      <w:spacing w:before="0" w:after="200"/>
      <w:ind w:left="440"/>
    </w:pPr>
    <w:rPr/>
  </w:style>
  <w:style w:type="paragraph" w:styleId="BodyTextpied">
    <w:name w:val="Body Text.pied"/>
    <w:basedOn w:val="BodyText"/>
    <w:qFormat/>
    <w:pPr>
      <w:spacing w:before="400" w:after="140"/>
    </w:pPr>
    <w:rPr>
      <w:i/>
      <w:iCs/>
      <w:color w:val="404040"/>
      <w:sz w:val="17"/>
      <w:szCs w:val="17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LibreOffice/26.2.5.2$MacOSX_AARCH64 LibreOffice_project/cd7284b4cbbfeb507e630c1aac019f4157393acb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fr-FR</dc:language>
  <cp:lastModifiedBy/>
  <cp:revision>0</cp:revision>
  <dc:subject/>
  <dc:title>HSE-04 Déclaration des presque-accidents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